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9B0E90A" w14:textId="77777777" w:rsidR="005A5729" w:rsidRDefault="005A5729" w:rsidP="005A5729">
      <w:pPr>
        <w:jc w:val="center"/>
        <w:rPr>
          <w:rFonts w:ascii="Century Gothic" w:hAnsi="Century Gothic"/>
          <w:color w:val="auto"/>
        </w:rPr>
      </w:pPr>
      <w:r>
        <w:rPr>
          <w:rFonts w:ascii="Century Gothic" w:eastAsia="Calibri" w:hAnsi="Century Gothic"/>
          <w:noProof/>
          <w:lang w:eastAsia="en-US"/>
        </w:rPr>
        <w:object w:dxaOrig="1935" w:dyaOrig="1755" w14:anchorId="015C3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7.75pt" o:ole="">
            <v:imagedata r:id="rId5" o:title=""/>
          </v:shape>
          <o:OLEObject Type="Embed" ProgID="AcroExch.Document.7" ShapeID="_x0000_i1025" DrawAspect="Content" ObjectID="_1755338055" r:id="rId6"/>
        </w:object>
      </w:r>
    </w:p>
    <w:p w14:paraId="22E9060B" w14:textId="77777777" w:rsidR="005A5729" w:rsidRDefault="005A5729" w:rsidP="005A5729">
      <w:pPr>
        <w:spacing w:after="0" w:line="240" w:lineRule="auto"/>
        <w:jc w:val="center"/>
        <w:rPr>
          <w:rFonts w:ascii="Bookman Old Style" w:hAnsi="Bookman Old Style"/>
          <w:b/>
          <w:bCs/>
          <w:szCs w:val="24"/>
        </w:rPr>
      </w:pPr>
      <w:r>
        <w:rPr>
          <w:rFonts w:ascii="Bookman Old Style" w:hAnsi="Bookman Old Style"/>
          <w:b/>
          <w:bCs/>
          <w:szCs w:val="24"/>
        </w:rPr>
        <w:t>REPUBLIC OF KENYA</w:t>
      </w:r>
    </w:p>
    <w:p w14:paraId="60999808" w14:textId="77777777" w:rsidR="005A5729" w:rsidRDefault="005A5729" w:rsidP="005A5729">
      <w:pPr>
        <w:spacing w:after="0" w:line="240" w:lineRule="auto"/>
        <w:jc w:val="center"/>
        <w:rPr>
          <w:rFonts w:ascii="Bookman Old Style" w:hAnsi="Bookman Old Style"/>
          <w:b/>
          <w:bCs/>
          <w:sz w:val="28"/>
          <w:szCs w:val="28"/>
        </w:rPr>
      </w:pPr>
      <w:r>
        <w:rPr>
          <w:rFonts w:ascii="Bookman Old Style" w:hAnsi="Bookman Old Style"/>
          <w:b/>
          <w:bCs/>
          <w:sz w:val="28"/>
          <w:szCs w:val="28"/>
        </w:rPr>
        <w:t>MINISTRY OF MINING, BLUE ECONOMY &amp; MARITIME AFFAIRS</w:t>
      </w:r>
    </w:p>
    <w:p w14:paraId="7F6A420B" w14:textId="77777777" w:rsidR="005A5729" w:rsidRDefault="005A5729" w:rsidP="005A5729">
      <w:pPr>
        <w:spacing w:after="0" w:line="240" w:lineRule="auto"/>
        <w:jc w:val="center"/>
        <w:rPr>
          <w:rFonts w:ascii="Bookman Old Style" w:hAnsi="Bookman Old Style"/>
          <w:b/>
          <w:bCs/>
          <w:sz w:val="28"/>
          <w:szCs w:val="28"/>
        </w:rPr>
      </w:pPr>
      <w:r>
        <w:rPr>
          <w:rFonts w:ascii="Bookman Old Style" w:hAnsi="Bookman Old Style"/>
          <w:b/>
          <w:bCs/>
          <w:sz w:val="28"/>
          <w:szCs w:val="28"/>
        </w:rPr>
        <w:t>STATE DEPARTMENT FOR MINING</w:t>
      </w:r>
    </w:p>
    <w:p w14:paraId="2A74A9B7" w14:textId="77777777" w:rsidR="005A5729" w:rsidRDefault="005A5729" w:rsidP="005A5729">
      <w:pPr>
        <w:spacing w:after="0" w:line="240" w:lineRule="auto"/>
        <w:jc w:val="center"/>
        <w:rPr>
          <w:rFonts w:ascii="Bookman Old Style" w:hAnsi="Bookman Old Style"/>
          <w:b/>
          <w:bCs/>
          <w:szCs w:val="24"/>
        </w:rPr>
      </w:pPr>
    </w:p>
    <w:p w14:paraId="503262C2" w14:textId="77777777" w:rsidR="007C671F" w:rsidRPr="00797D1C" w:rsidRDefault="00016208">
      <w:pPr>
        <w:spacing w:after="0" w:line="259" w:lineRule="auto"/>
        <w:ind w:left="0" w:firstLine="0"/>
        <w:rPr>
          <w:szCs w:val="24"/>
        </w:rPr>
      </w:pPr>
      <w:r w:rsidRPr="00797D1C">
        <w:rPr>
          <w:b/>
          <w:szCs w:val="24"/>
        </w:rPr>
        <w:t xml:space="preserve"> </w:t>
      </w:r>
    </w:p>
    <w:p w14:paraId="0AEAC76F" w14:textId="05D9FB18" w:rsidR="007C671F" w:rsidRPr="00797D1C" w:rsidRDefault="0031010F" w:rsidP="00796157">
      <w:pPr>
        <w:jc w:val="center"/>
        <w:rPr>
          <w:szCs w:val="24"/>
        </w:rPr>
      </w:pPr>
      <w:r w:rsidRPr="00797D1C">
        <w:rPr>
          <w:b/>
          <w:szCs w:val="24"/>
        </w:rPr>
        <w:t>ADDENDUM NO. 2</w:t>
      </w:r>
    </w:p>
    <w:p w14:paraId="6BF1ADD6" w14:textId="2040A90A" w:rsidR="007C671F" w:rsidRDefault="007C671F" w:rsidP="00796157">
      <w:pPr>
        <w:spacing w:after="17" w:line="259" w:lineRule="auto"/>
        <w:ind w:left="0" w:firstLine="0"/>
        <w:jc w:val="center"/>
      </w:pPr>
    </w:p>
    <w:p w14:paraId="31A6D3A5" w14:textId="13BAE915" w:rsidR="007C671F" w:rsidRDefault="00016208" w:rsidP="00796157">
      <w:pPr>
        <w:pStyle w:val="Heading1"/>
        <w:numPr>
          <w:ilvl w:val="0"/>
          <w:numId w:val="0"/>
        </w:numPr>
        <w:jc w:val="center"/>
      </w:pPr>
      <w:r>
        <w:t>T</w:t>
      </w:r>
      <w:r w:rsidR="0031010F">
        <w:t xml:space="preserve">ENDER </w:t>
      </w:r>
      <w:r>
        <w:t>N</w:t>
      </w:r>
      <w:r w:rsidR="0031010F">
        <w:t>O</w:t>
      </w:r>
      <w:r>
        <w:t>. MMBE&amp;MA/SDM/003/2023-2024. S</w:t>
      </w:r>
      <w:r w:rsidR="0031010F">
        <w:t>UPPLY AND DELIVERY OF LABORATORY EQUIPMENT (OPEN NATIONAL TENDER)</w:t>
      </w:r>
    </w:p>
    <w:p w14:paraId="78D47004" w14:textId="0021AF3D" w:rsidR="007C671F" w:rsidRDefault="00016208">
      <w:pPr>
        <w:spacing w:after="0" w:line="259" w:lineRule="auto"/>
        <w:ind w:left="0" w:firstLine="0"/>
      </w:pPr>
      <w:r>
        <w:rPr>
          <w:b/>
          <w:sz w:val="20"/>
        </w:rPr>
        <w:t xml:space="preserve"> </w:t>
      </w:r>
    </w:p>
    <w:p w14:paraId="134BE056" w14:textId="6E02629E" w:rsidR="0031010F" w:rsidRPr="00796157" w:rsidRDefault="0031010F">
      <w:pPr>
        <w:spacing w:after="18" w:line="259" w:lineRule="auto"/>
        <w:ind w:left="0" w:firstLine="0"/>
        <w:rPr>
          <w:b/>
          <w:szCs w:val="24"/>
        </w:rPr>
      </w:pPr>
      <w:r w:rsidRPr="00796157">
        <w:rPr>
          <w:b/>
          <w:szCs w:val="24"/>
        </w:rPr>
        <w:t>Bidders observations</w:t>
      </w:r>
    </w:p>
    <w:p w14:paraId="64DA0936" w14:textId="1BA05B8C" w:rsidR="0041136F" w:rsidRPr="00796157" w:rsidRDefault="0041136F">
      <w:pPr>
        <w:spacing w:after="18" w:line="259" w:lineRule="auto"/>
        <w:ind w:left="0" w:firstLine="0"/>
        <w:rPr>
          <w:szCs w:val="24"/>
        </w:rPr>
      </w:pPr>
    </w:p>
    <w:tbl>
      <w:tblPr>
        <w:tblStyle w:val="TableGrid0"/>
        <w:tblW w:w="9776" w:type="dxa"/>
        <w:tblLook w:val="04A0" w:firstRow="1" w:lastRow="0" w:firstColumn="1" w:lastColumn="0" w:noHBand="0" w:noVBand="1"/>
      </w:tblPr>
      <w:tblGrid>
        <w:gridCol w:w="3032"/>
        <w:gridCol w:w="3032"/>
        <w:gridCol w:w="3712"/>
      </w:tblGrid>
      <w:tr w:rsidR="00EF4927" w:rsidRPr="00796157" w14:paraId="583A4A5F" w14:textId="77777777" w:rsidTr="00626E3A">
        <w:tc>
          <w:tcPr>
            <w:tcW w:w="3032" w:type="dxa"/>
          </w:tcPr>
          <w:p w14:paraId="00A26999" w14:textId="3698012B" w:rsidR="00EF4927" w:rsidRPr="00796157" w:rsidRDefault="00EF4927" w:rsidP="00EF4927">
            <w:pPr>
              <w:spacing w:after="18" w:line="259" w:lineRule="auto"/>
              <w:ind w:left="0" w:firstLine="0"/>
              <w:rPr>
                <w:sz w:val="20"/>
                <w:szCs w:val="20"/>
              </w:rPr>
            </w:pPr>
            <w:r w:rsidRPr="00796157">
              <w:rPr>
                <w:rFonts w:eastAsia="Calibri"/>
                <w:sz w:val="20"/>
                <w:szCs w:val="20"/>
              </w:rPr>
              <w:t xml:space="preserve">ACCESSORY </w:t>
            </w:r>
          </w:p>
        </w:tc>
        <w:tc>
          <w:tcPr>
            <w:tcW w:w="3032" w:type="dxa"/>
          </w:tcPr>
          <w:p w14:paraId="71B9C12F" w14:textId="0071AA0A" w:rsidR="00EF4927" w:rsidRPr="00796157" w:rsidRDefault="00EF4927" w:rsidP="00EF4927">
            <w:pPr>
              <w:spacing w:after="18" w:line="259" w:lineRule="auto"/>
              <w:ind w:left="0" w:firstLine="0"/>
              <w:rPr>
                <w:sz w:val="20"/>
                <w:szCs w:val="20"/>
              </w:rPr>
            </w:pPr>
            <w:r w:rsidRPr="00796157">
              <w:rPr>
                <w:rFonts w:eastAsia="Calibri"/>
                <w:sz w:val="20"/>
                <w:szCs w:val="20"/>
              </w:rPr>
              <w:t xml:space="preserve">USE </w:t>
            </w:r>
          </w:p>
        </w:tc>
        <w:tc>
          <w:tcPr>
            <w:tcW w:w="3712" w:type="dxa"/>
          </w:tcPr>
          <w:p w14:paraId="7E352786" w14:textId="2394E5D3" w:rsidR="00EF4927" w:rsidRPr="00796157" w:rsidRDefault="00EF4927" w:rsidP="00EF4927">
            <w:pPr>
              <w:spacing w:after="18" w:line="259" w:lineRule="auto"/>
              <w:ind w:left="0" w:firstLine="0"/>
              <w:rPr>
                <w:sz w:val="20"/>
                <w:szCs w:val="20"/>
              </w:rPr>
            </w:pPr>
            <w:r w:rsidRPr="00796157">
              <w:rPr>
                <w:rFonts w:eastAsia="Calibri"/>
                <w:sz w:val="20"/>
                <w:szCs w:val="20"/>
              </w:rPr>
              <w:t xml:space="preserve">COMMENTS/CLARIFICATION </w:t>
            </w:r>
          </w:p>
        </w:tc>
      </w:tr>
      <w:tr w:rsidR="00EF4927" w:rsidRPr="00796157" w14:paraId="58187C24" w14:textId="77777777" w:rsidTr="00626E3A">
        <w:tc>
          <w:tcPr>
            <w:tcW w:w="3032" w:type="dxa"/>
          </w:tcPr>
          <w:p w14:paraId="4F4400BE" w14:textId="22419F3B" w:rsidR="00EF4927" w:rsidRPr="00796157" w:rsidRDefault="00EF4927" w:rsidP="00EF4927">
            <w:pPr>
              <w:spacing w:after="18" w:line="259" w:lineRule="auto"/>
              <w:ind w:left="0" w:firstLine="0"/>
              <w:rPr>
                <w:sz w:val="20"/>
                <w:szCs w:val="20"/>
              </w:rPr>
            </w:pPr>
            <w:r w:rsidRPr="00796157">
              <w:rPr>
                <w:sz w:val="20"/>
                <w:szCs w:val="20"/>
              </w:rPr>
              <w:t xml:space="preserve">Auto sampler </w:t>
            </w:r>
          </w:p>
        </w:tc>
        <w:tc>
          <w:tcPr>
            <w:tcW w:w="3032" w:type="dxa"/>
          </w:tcPr>
          <w:p w14:paraId="7EDD57E1" w14:textId="4A8655AA" w:rsidR="00EF4927" w:rsidRPr="00796157" w:rsidRDefault="00EF4927" w:rsidP="00EF4927">
            <w:pPr>
              <w:spacing w:after="18" w:line="259" w:lineRule="auto"/>
              <w:ind w:left="0" w:firstLine="0"/>
              <w:rPr>
                <w:sz w:val="20"/>
                <w:szCs w:val="20"/>
              </w:rPr>
            </w:pPr>
            <w:r w:rsidRPr="00796157">
              <w:rPr>
                <w:rFonts w:eastAsia="Calibri"/>
                <w:sz w:val="20"/>
                <w:szCs w:val="20"/>
              </w:rPr>
              <w:t xml:space="preserve">Automatic sample introduction. Different options available according to no of samples and level of automation required. </w:t>
            </w:r>
          </w:p>
        </w:tc>
        <w:tc>
          <w:tcPr>
            <w:tcW w:w="3712" w:type="dxa"/>
          </w:tcPr>
          <w:p w14:paraId="1E9137EF" w14:textId="77777777" w:rsidR="00EF4927" w:rsidRPr="00796157" w:rsidRDefault="00EF4927" w:rsidP="00EF4927">
            <w:pPr>
              <w:spacing w:after="1" w:line="239" w:lineRule="auto"/>
              <w:ind w:left="0" w:right="41" w:firstLine="0"/>
              <w:rPr>
                <w:sz w:val="20"/>
                <w:szCs w:val="20"/>
              </w:rPr>
            </w:pPr>
            <w:r w:rsidRPr="00796157">
              <w:rPr>
                <w:rFonts w:eastAsia="Calibri"/>
                <w:sz w:val="20"/>
                <w:szCs w:val="20"/>
              </w:rPr>
              <w:t xml:space="preserve">The higher the level of automation the more expensive the unit. Please confirm if autosampler with 60 place of 15-mL and 8 places of 50-ml capacity is sufficient? </w:t>
            </w:r>
          </w:p>
          <w:p w14:paraId="0C81514C" w14:textId="441B8D76" w:rsidR="00EF4927" w:rsidRPr="00796157" w:rsidRDefault="00EF4927" w:rsidP="00EF4927">
            <w:pPr>
              <w:spacing w:after="18" w:line="259" w:lineRule="auto"/>
              <w:ind w:left="0" w:firstLine="0"/>
              <w:rPr>
                <w:sz w:val="20"/>
                <w:szCs w:val="20"/>
              </w:rPr>
            </w:pPr>
            <w:r w:rsidRPr="00796157">
              <w:rPr>
                <w:rFonts w:eastAsia="Calibri"/>
                <w:sz w:val="20"/>
                <w:szCs w:val="20"/>
              </w:rPr>
              <w:t xml:space="preserve">System requested is XZ type which requires a longer tube length to reach the furthest vials. A rotary system Minimizes probe tube length </w:t>
            </w:r>
          </w:p>
        </w:tc>
      </w:tr>
      <w:tr w:rsidR="00EF4927" w:rsidRPr="00796157" w14:paraId="48A3D1B2" w14:textId="77777777" w:rsidTr="00626E3A">
        <w:tc>
          <w:tcPr>
            <w:tcW w:w="3032" w:type="dxa"/>
          </w:tcPr>
          <w:p w14:paraId="3E5F5F5F" w14:textId="700EC633" w:rsidR="00EF4927" w:rsidRPr="00796157" w:rsidRDefault="00EF4927" w:rsidP="00EF4927">
            <w:pPr>
              <w:spacing w:after="18" w:line="259" w:lineRule="auto"/>
              <w:ind w:left="0" w:firstLine="0"/>
              <w:rPr>
                <w:sz w:val="20"/>
                <w:szCs w:val="20"/>
              </w:rPr>
            </w:pPr>
            <w:r w:rsidRPr="00796157">
              <w:rPr>
                <w:sz w:val="20"/>
                <w:szCs w:val="20"/>
              </w:rPr>
              <w:t xml:space="preserve">System 3 PFA Inert Sample </w:t>
            </w:r>
          </w:p>
        </w:tc>
        <w:tc>
          <w:tcPr>
            <w:tcW w:w="3032" w:type="dxa"/>
          </w:tcPr>
          <w:p w14:paraId="6BDAA7BC" w14:textId="01D686AC" w:rsidR="00EF4927" w:rsidRPr="00796157" w:rsidRDefault="00EF4927" w:rsidP="00EF4927">
            <w:pPr>
              <w:spacing w:after="18" w:line="259" w:lineRule="auto"/>
              <w:ind w:left="0" w:firstLine="0"/>
              <w:rPr>
                <w:sz w:val="20"/>
                <w:szCs w:val="20"/>
              </w:rPr>
            </w:pPr>
            <w:r w:rsidRPr="00796157">
              <w:rPr>
                <w:rFonts w:eastAsia="Calibri"/>
                <w:sz w:val="20"/>
                <w:szCs w:val="20"/>
              </w:rPr>
              <w:t xml:space="preserve">Enable analysis of samples containing hydrofluoric (HF) acid </w:t>
            </w:r>
          </w:p>
        </w:tc>
        <w:tc>
          <w:tcPr>
            <w:tcW w:w="3712" w:type="dxa"/>
          </w:tcPr>
          <w:p w14:paraId="3E61CA89" w14:textId="1DF91694" w:rsidR="00EF4927" w:rsidRPr="00796157" w:rsidRDefault="00EF4927" w:rsidP="00EF4927">
            <w:pPr>
              <w:spacing w:after="18" w:line="259" w:lineRule="auto"/>
              <w:ind w:left="0" w:firstLine="0"/>
              <w:rPr>
                <w:sz w:val="20"/>
                <w:szCs w:val="20"/>
              </w:rPr>
            </w:pPr>
            <w:r w:rsidRPr="00796157">
              <w:rPr>
                <w:rFonts w:eastAsia="Calibri"/>
                <w:sz w:val="20"/>
                <w:szCs w:val="20"/>
              </w:rPr>
              <w:t xml:space="preserve">Confirm if you will be using Samples with HF </w:t>
            </w:r>
          </w:p>
        </w:tc>
      </w:tr>
      <w:tr w:rsidR="00EF4927" w:rsidRPr="00796157" w14:paraId="1158EE6E" w14:textId="77777777" w:rsidTr="00626E3A">
        <w:tc>
          <w:tcPr>
            <w:tcW w:w="3032" w:type="dxa"/>
          </w:tcPr>
          <w:p w14:paraId="4FB07108" w14:textId="77E3F80B" w:rsidR="00EF4927" w:rsidRPr="00796157" w:rsidRDefault="00EF4927" w:rsidP="00EF4927">
            <w:pPr>
              <w:spacing w:after="18" w:line="259" w:lineRule="auto"/>
              <w:ind w:left="0" w:firstLine="0"/>
              <w:rPr>
                <w:sz w:val="20"/>
                <w:szCs w:val="20"/>
              </w:rPr>
            </w:pPr>
            <w:r w:rsidRPr="00796157">
              <w:rPr>
                <w:sz w:val="20"/>
                <w:szCs w:val="20"/>
              </w:rPr>
              <w:t xml:space="preserve">Introduction Kit Organic Solvent </w:t>
            </w:r>
          </w:p>
        </w:tc>
        <w:tc>
          <w:tcPr>
            <w:tcW w:w="3032" w:type="dxa"/>
          </w:tcPr>
          <w:p w14:paraId="3EED11CE" w14:textId="7FAFAB63" w:rsidR="00EF4927" w:rsidRPr="00796157" w:rsidRDefault="00EF4927" w:rsidP="00EF4927">
            <w:pPr>
              <w:spacing w:after="18" w:line="259" w:lineRule="auto"/>
              <w:ind w:left="0" w:firstLine="0"/>
              <w:rPr>
                <w:sz w:val="20"/>
                <w:szCs w:val="20"/>
              </w:rPr>
            </w:pPr>
            <w:r w:rsidRPr="00796157">
              <w:rPr>
                <w:rFonts w:eastAsia="Calibri"/>
                <w:sz w:val="20"/>
                <w:szCs w:val="20"/>
              </w:rPr>
              <w:t xml:space="preserve">For analysis of organic solvents </w:t>
            </w:r>
          </w:p>
        </w:tc>
        <w:tc>
          <w:tcPr>
            <w:tcW w:w="3712" w:type="dxa"/>
          </w:tcPr>
          <w:p w14:paraId="27D0D3C5" w14:textId="114EFCAA" w:rsidR="00EF4927" w:rsidRPr="00796157" w:rsidRDefault="00EF4927" w:rsidP="00EF4927">
            <w:pPr>
              <w:spacing w:after="18" w:line="259" w:lineRule="auto"/>
              <w:ind w:left="0" w:firstLine="0"/>
              <w:rPr>
                <w:sz w:val="20"/>
                <w:szCs w:val="20"/>
              </w:rPr>
            </w:pPr>
            <w:r w:rsidRPr="00796157">
              <w:rPr>
                <w:rFonts w:eastAsia="Calibri"/>
                <w:sz w:val="20"/>
                <w:szCs w:val="20"/>
              </w:rPr>
              <w:t xml:space="preserve">Confirm if you will be using Samples with Organic solvents </w:t>
            </w:r>
          </w:p>
        </w:tc>
      </w:tr>
      <w:tr w:rsidR="00EF4927" w:rsidRPr="00796157" w14:paraId="13892B87" w14:textId="77777777" w:rsidTr="00626E3A">
        <w:tc>
          <w:tcPr>
            <w:tcW w:w="3032" w:type="dxa"/>
          </w:tcPr>
          <w:p w14:paraId="1BBFBED7" w14:textId="1E3FB770" w:rsidR="00EF4927" w:rsidRPr="00796157" w:rsidRDefault="00EF4927" w:rsidP="00EF4927">
            <w:pPr>
              <w:spacing w:after="18" w:line="259" w:lineRule="auto"/>
              <w:ind w:left="0" w:firstLine="0"/>
              <w:rPr>
                <w:sz w:val="20"/>
                <w:szCs w:val="20"/>
              </w:rPr>
            </w:pPr>
            <w:r w:rsidRPr="00796157">
              <w:rPr>
                <w:sz w:val="20"/>
                <w:szCs w:val="20"/>
              </w:rPr>
              <w:t xml:space="preserve">Introduction Kit Humidifier </w:t>
            </w:r>
          </w:p>
        </w:tc>
        <w:tc>
          <w:tcPr>
            <w:tcW w:w="3032" w:type="dxa"/>
          </w:tcPr>
          <w:p w14:paraId="2608FF85" w14:textId="0D6D0793" w:rsidR="00EF4927" w:rsidRPr="00796157" w:rsidRDefault="00EF4927" w:rsidP="00EF4927">
            <w:pPr>
              <w:spacing w:after="18" w:line="259" w:lineRule="auto"/>
              <w:ind w:left="0" w:firstLine="0"/>
              <w:rPr>
                <w:sz w:val="20"/>
                <w:szCs w:val="20"/>
              </w:rPr>
            </w:pPr>
            <w:r w:rsidRPr="00796157">
              <w:rPr>
                <w:rFonts w:eastAsia="Calibri"/>
                <w:sz w:val="20"/>
                <w:szCs w:val="20"/>
              </w:rPr>
              <w:t xml:space="preserve">For Total Dissolved Solid samples. To humidify argon gas and prevent clogging of the torch and nebulizer </w:t>
            </w:r>
          </w:p>
        </w:tc>
        <w:tc>
          <w:tcPr>
            <w:tcW w:w="3712" w:type="dxa"/>
          </w:tcPr>
          <w:p w14:paraId="423F5ABF" w14:textId="2AC85B9C" w:rsidR="00EF4927" w:rsidRPr="00796157" w:rsidRDefault="00EF4927" w:rsidP="00EF4927">
            <w:pPr>
              <w:spacing w:after="18" w:line="259" w:lineRule="auto"/>
              <w:ind w:left="0" w:firstLine="0"/>
              <w:rPr>
                <w:sz w:val="20"/>
                <w:szCs w:val="20"/>
              </w:rPr>
            </w:pPr>
            <w:r w:rsidRPr="00796157">
              <w:rPr>
                <w:rFonts w:eastAsia="Calibri"/>
                <w:sz w:val="20"/>
                <w:szCs w:val="20"/>
              </w:rPr>
              <w:t xml:space="preserve">Confirm if you will be using Samples with high Total Dissolved Solids </w:t>
            </w:r>
          </w:p>
        </w:tc>
      </w:tr>
      <w:tr w:rsidR="00EF4927" w:rsidRPr="00796157" w14:paraId="52784C86" w14:textId="77777777" w:rsidTr="00626E3A">
        <w:tc>
          <w:tcPr>
            <w:tcW w:w="3032" w:type="dxa"/>
          </w:tcPr>
          <w:p w14:paraId="1057A13A" w14:textId="636F34E7" w:rsidR="00EF4927" w:rsidRPr="00796157" w:rsidRDefault="00EF4927" w:rsidP="00EF4927">
            <w:pPr>
              <w:spacing w:after="18" w:line="259" w:lineRule="auto"/>
              <w:ind w:left="0" w:firstLine="0"/>
              <w:rPr>
                <w:sz w:val="20"/>
                <w:szCs w:val="20"/>
              </w:rPr>
            </w:pPr>
            <w:r w:rsidRPr="00796157">
              <w:rPr>
                <w:sz w:val="20"/>
                <w:szCs w:val="20"/>
              </w:rPr>
              <w:t xml:space="preserve">LC-ICP-MS Speciation </w:t>
            </w:r>
            <w:proofErr w:type="gramStart"/>
            <w:r w:rsidRPr="00796157">
              <w:rPr>
                <w:sz w:val="20"/>
                <w:szCs w:val="20"/>
              </w:rPr>
              <w:t>Kits  Capillary</w:t>
            </w:r>
            <w:proofErr w:type="gramEnd"/>
            <w:r w:rsidRPr="00796157">
              <w:rPr>
                <w:sz w:val="20"/>
                <w:szCs w:val="20"/>
              </w:rPr>
              <w:t xml:space="preserve"> LC Interface Kit </w:t>
            </w:r>
          </w:p>
        </w:tc>
        <w:tc>
          <w:tcPr>
            <w:tcW w:w="3032" w:type="dxa"/>
          </w:tcPr>
          <w:p w14:paraId="0CD0F6FB" w14:textId="3C4D7BD4" w:rsidR="00EF4927" w:rsidRPr="00796157" w:rsidRDefault="00EF4927" w:rsidP="00EF4927">
            <w:pPr>
              <w:spacing w:after="18" w:line="259" w:lineRule="auto"/>
              <w:ind w:left="0" w:firstLine="0"/>
              <w:rPr>
                <w:sz w:val="20"/>
                <w:szCs w:val="20"/>
              </w:rPr>
            </w:pPr>
            <w:r w:rsidRPr="00796157">
              <w:rPr>
                <w:rFonts w:eastAsia="Calibri"/>
                <w:sz w:val="20"/>
                <w:szCs w:val="20"/>
              </w:rPr>
              <w:t xml:space="preserve">If ICPMS will be connected to HPLC. </w:t>
            </w:r>
          </w:p>
        </w:tc>
        <w:tc>
          <w:tcPr>
            <w:tcW w:w="3712" w:type="dxa"/>
          </w:tcPr>
          <w:p w14:paraId="479FA48B" w14:textId="03943BCD" w:rsidR="00EF4927" w:rsidRPr="00796157" w:rsidRDefault="00EF4927" w:rsidP="00EF4927">
            <w:pPr>
              <w:spacing w:after="18" w:line="259" w:lineRule="auto"/>
              <w:ind w:left="0" w:firstLine="0"/>
              <w:rPr>
                <w:sz w:val="20"/>
                <w:szCs w:val="20"/>
              </w:rPr>
            </w:pPr>
            <w:r w:rsidRPr="00796157">
              <w:rPr>
                <w:rFonts w:eastAsia="Calibri"/>
                <w:sz w:val="20"/>
                <w:szCs w:val="20"/>
              </w:rPr>
              <w:t xml:space="preserve">Not required for standalone system </w:t>
            </w:r>
          </w:p>
        </w:tc>
      </w:tr>
      <w:tr w:rsidR="00EF4927" w:rsidRPr="00796157" w14:paraId="62685AF6" w14:textId="77777777" w:rsidTr="00626E3A">
        <w:tc>
          <w:tcPr>
            <w:tcW w:w="3032" w:type="dxa"/>
          </w:tcPr>
          <w:p w14:paraId="6C1C9D53" w14:textId="68C6DB65" w:rsidR="00EF4927" w:rsidRPr="00796157" w:rsidRDefault="00EF4927" w:rsidP="00EF4927">
            <w:pPr>
              <w:spacing w:after="18" w:line="259" w:lineRule="auto"/>
              <w:ind w:left="0" w:firstLine="0"/>
              <w:rPr>
                <w:sz w:val="20"/>
                <w:szCs w:val="20"/>
              </w:rPr>
            </w:pPr>
            <w:r w:rsidRPr="00796157">
              <w:rPr>
                <w:rFonts w:eastAsia="Calibri"/>
                <w:sz w:val="20"/>
                <w:szCs w:val="20"/>
              </w:rPr>
              <w:t xml:space="preserve">Capillary LC Interface Kit </w:t>
            </w:r>
          </w:p>
        </w:tc>
        <w:tc>
          <w:tcPr>
            <w:tcW w:w="3032" w:type="dxa"/>
          </w:tcPr>
          <w:p w14:paraId="20CC6188" w14:textId="2FDBAD2D" w:rsidR="00EF4927" w:rsidRPr="00796157" w:rsidRDefault="00EF4927" w:rsidP="00EF4927">
            <w:pPr>
              <w:spacing w:after="18" w:line="259" w:lineRule="auto"/>
              <w:ind w:left="0" w:firstLine="0"/>
              <w:rPr>
                <w:sz w:val="20"/>
                <w:szCs w:val="20"/>
              </w:rPr>
            </w:pPr>
            <w:r w:rsidRPr="00796157">
              <w:rPr>
                <w:rFonts w:eastAsia="Calibri"/>
                <w:sz w:val="20"/>
                <w:szCs w:val="20"/>
              </w:rPr>
              <w:t xml:space="preserve">If ICPMS will be connected to HPLC. </w:t>
            </w:r>
          </w:p>
        </w:tc>
        <w:tc>
          <w:tcPr>
            <w:tcW w:w="3712" w:type="dxa"/>
          </w:tcPr>
          <w:p w14:paraId="5BC652EE" w14:textId="198F5803" w:rsidR="00EF4927" w:rsidRPr="00796157" w:rsidRDefault="00EF4927" w:rsidP="00EF4927">
            <w:pPr>
              <w:spacing w:after="18" w:line="259" w:lineRule="auto"/>
              <w:ind w:left="0" w:firstLine="0"/>
              <w:rPr>
                <w:sz w:val="20"/>
                <w:szCs w:val="20"/>
              </w:rPr>
            </w:pPr>
            <w:r w:rsidRPr="00796157">
              <w:rPr>
                <w:rFonts w:eastAsia="Calibri"/>
                <w:sz w:val="20"/>
                <w:szCs w:val="20"/>
              </w:rPr>
              <w:t xml:space="preserve">Not required for standalone system </w:t>
            </w:r>
          </w:p>
        </w:tc>
      </w:tr>
      <w:tr w:rsidR="00405624" w:rsidRPr="00796157" w14:paraId="19B591ED" w14:textId="77777777" w:rsidTr="00626E3A">
        <w:tc>
          <w:tcPr>
            <w:tcW w:w="3032" w:type="dxa"/>
          </w:tcPr>
          <w:p w14:paraId="6642DCCC" w14:textId="6C6EDE08" w:rsidR="00405624" w:rsidRPr="00796157" w:rsidRDefault="00CB1510" w:rsidP="00EF4927">
            <w:pPr>
              <w:spacing w:after="18" w:line="259" w:lineRule="auto"/>
              <w:ind w:left="0" w:firstLine="0"/>
              <w:rPr>
                <w:rFonts w:eastAsia="Calibri"/>
                <w:sz w:val="20"/>
                <w:szCs w:val="20"/>
              </w:rPr>
            </w:pPr>
            <w:r w:rsidRPr="00796157">
              <w:rPr>
                <w:sz w:val="20"/>
                <w:szCs w:val="20"/>
              </w:rPr>
              <w:t>Chromium Speciation Kit</w:t>
            </w:r>
          </w:p>
        </w:tc>
        <w:tc>
          <w:tcPr>
            <w:tcW w:w="3032" w:type="dxa"/>
          </w:tcPr>
          <w:p w14:paraId="2E1D62BD" w14:textId="01B9C838" w:rsidR="00405624" w:rsidRPr="00796157" w:rsidRDefault="00CB1510" w:rsidP="00EF4927">
            <w:pPr>
              <w:spacing w:after="18" w:line="259" w:lineRule="auto"/>
              <w:ind w:left="0" w:firstLine="0"/>
              <w:rPr>
                <w:rFonts w:eastAsia="Calibri"/>
                <w:sz w:val="20"/>
                <w:szCs w:val="20"/>
              </w:rPr>
            </w:pPr>
            <w:r w:rsidRPr="00796157">
              <w:rPr>
                <w:sz w:val="20"/>
                <w:szCs w:val="20"/>
              </w:rPr>
              <w:t>Can only be used if ICPMS is connected to HPLC - Hence not applicable to ICPMS standalone system</w:t>
            </w:r>
          </w:p>
        </w:tc>
        <w:tc>
          <w:tcPr>
            <w:tcW w:w="3712" w:type="dxa"/>
          </w:tcPr>
          <w:p w14:paraId="3861C454" w14:textId="4202D532" w:rsidR="00405624" w:rsidRPr="00796157" w:rsidRDefault="00CB1510" w:rsidP="00EF4927">
            <w:pPr>
              <w:spacing w:after="18" w:line="259" w:lineRule="auto"/>
              <w:ind w:left="0" w:firstLine="0"/>
              <w:rPr>
                <w:rFonts w:eastAsia="Calibri"/>
                <w:sz w:val="20"/>
                <w:szCs w:val="20"/>
              </w:rPr>
            </w:pPr>
            <w:r w:rsidRPr="00796157">
              <w:rPr>
                <w:sz w:val="20"/>
                <w:szCs w:val="20"/>
              </w:rPr>
              <w:t>Not required for standalone system</w:t>
            </w:r>
          </w:p>
        </w:tc>
      </w:tr>
    </w:tbl>
    <w:p w14:paraId="43119878" w14:textId="1512FEF9" w:rsidR="0031010F" w:rsidRPr="00796157" w:rsidRDefault="0031010F">
      <w:pPr>
        <w:spacing w:after="18" w:line="259" w:lineRule="auto"/>
        <w:ind w:left="0" w:firstLine="0"/>
        <w:rPr>
          <w:szCs w:val="24"/>
        </w:rPr>
      </w:pPr>
    </w:p>
    <w:p w14:paraId="2E9E7D35" w14:textId="75A9182D" w:rsidR="007C671F" w:rsidRPr="00796157" w:rsidRDefault="00796157" w:rsidP="00CB1510">
      <w:pPr>
        <w:pStyle w:val="Heading1"/>
        <w:numPr>
          <w:ilvl w:val="0"/>
          <w:numId w:val="3"/>
        </w:numPr>
        <w:rPr>
          <w:b w:val="0"/>
          <w:szCs w:val="24"/>
          <w:u w:val="none"/>
        </w:rPr>
      </w:pPr>
      <w:r w:rsidRPr="00796157">
        <w:rPr>
          <w:b w:val="0"/>
          <w:szCs w:val="24"/>
          <w:u w:val="none"/>
        </w:rPr>
        <w:t>Item 1</w:t>
      </w:r>
      <w:r w:rsidR="00016208" w:rsidRPr="00796157">
        <w:rPr>
          <w:b w:val="0"/>
          <w:szCs w:val="24"/>
          <w:u w:val="none"/>
        </w:rPr>
        <w:t xml:space="preserve">: ICPMS </w:t>
      </w:r>
    </w:p>
    <w:p w14:paraId="11362303" w14:textId="77777777" w:rsidR="007C671F" w:rsidRPr="00796157" w:rsidRDefault="00016208">
      <w:pPr>
        <w:spacing w:after="0" w:line="259" w:lineRule="auto"/>
        <w:ind w:left="360" w:firstLine="0"/>
        <w:rPr>
          <w:szCs w:val="24"/>
        </w:rPr>
      </w:pPr>
      <w:r w:rsidRPr="00796157">
        <w:rPr>
          <w:b/>
          <w:szCs w:val="24"/>
        </w:rPr>
        <w:t xml:space="preserve"> </w:t>
      </w:r>
    </w:p>
    <w:p w14:paraId="64E9EBE0" w14:textId="77777777" w:rsidR="007C671F" w:rsidRPr="00796157" w:rsidRDefault="00016208">
      <w:pPr>
        <w:ind w:left="730"/>
        <w:rPr>
          <w:szCs w:val="24"/>
        </w:rPr>
      </w:pPr>
      <w:r w:rsidRPr="00796157">
        <w:rPr>
          <w:szCs w:val="24"/>
        </w:rPr>
        <w:t xml:space="preserve">Please note that practically all available accessories have been listed to be supplied. All accessories will not be needed and will make the equipment very expensive. Please see below explanation of use of each accessory and confirm if it is required in line with your application.  </w:t>
      </w:r>
    </w:p>
    <w:p w14:paraId="7D0ADCA5" w14:textId="77777777" w:rsidR="007C671F" w:rsidRPr="00796157" w:rsidRDefault="00016208">
      <w:pPr>
        <w:spacing w:after="0" w:line="259" w:lineRule="auto"/>
        <w:ind w:left="720" w:firstLine="0"/>
        <w:rPr>
          <w:szCs w:val="24"/>
        </w:rPr>
      </w:pPr>
      <w:r w:rsidRPr="00796157">
        <w:rPr>
          <w:b/>
          <w:szCs w:val="24"/>
        </w:rPr>
        <w:t xml:space="preserve"> </w:t>
      </w:r>
    </w:p>
    <w:p w14:paraId="077FD8E9" w14:textId="77777777" w:rsidR="007C671F" w:rsidRPr="00796157" w:rsidRDefault="00016208">
      <w:pPr>
        <w:ind w:left="705" w:hanging="360"/>
        <w:rPr>
          <w:szCs w:val="24"/>
        </w:rPr>
      </w:pPr>
      <w:r w:rsidRPr="00796157">
        <w:rPr>
          <w:szCs w:val="24"/>
        </w:rPr>
        <w:lastRenderedPageBreak/>
        <w:t>2.</w:t>
      </w:r>
      <w:r w:rsidRPr="00796157">
        <w:rPr>
          <w:rFonts w:eastAsia="Arial"/>
          <w:szCs w:val="24"/>
        </w:rPr>
        <w:t xml:space="preserve"> </w:t>
      </w:r>
      <w:r w:rsidRPr="00796157">
        <w:rPr>
          <w:szCs w:val="24"/>
        </w:rPr>
        <w:t xml:space="preserve">Please also note you will need the below to operate the unit, please confirm if we should quote for the same: </w:t>
      </w:r>
    </w:p>
    <w:p w14:paraId="4EB11D9D" w14:textId="77777777" w:rsidR="007C671F" w:rsidRPr="00796157" w:rsidRDefault="00016208">
      <w:pPr>
        <w:numPr>
          <w:ilvl w:val="0"/>
          <w:numId w:val="1"/>
        </w:numPr>
        <w:ind w:hanging="360"/>
        <w:rPr>
          <w:szCs w:val="24"/>
        </w:rPr>
      </w:pPr>
      <w:r w:rsidRPr="00796157">
        <w:rPr>
          <w:szCs w:val="24"/>
        </w:rPr>
        <w:t xml:space="preserve">Argon &amp; Helium gas with regulators  </w:t>
      </w:r>
    </w:p>
    <w:p w14:paraId="7BC9E7FF" w14:textId="77777777" w:rsidR="007C671F" w:rsidRPr="00796157" w:rsidRDefault="00016208">
      <w:pPr>
        <w:numPr>
          <w:ilvl w:val="0"/>
          <w:numId w:val="1"/>
        </w:numPr>
        <w:ind w:hanging="360"/>
        <w:rPr>
          <w:szCs w:val="24"/>
        </w:rPr>
      </w:pPr>
      <w:r w:rsidRPr="00796157">
        <w:rPr>
          <w:szCs w:val="24"/>
        </w:rPr>
        <w:t xml:space="preserve">PC/ Printer/ UPS for PC </w:t>
      </w:r>
    </w:p>
    <w:p w14:paraId="0BD62B49" w14:textId="77777777" w:rsidR="007C671F" w:rsidRPr="00796157" w:rsidRDefault="00016208">
      <w:pPr>
        <w:numPr>
          <w:ilvl w:val="0"/>
          <w:numId w:val="1"/>
        </w:numPr>
        <w:ind w:hanging="360"/>
        <w:rPr>
          <w:szCs w:val="24"/>
        </w:rPr>
      </w:pPr>
      <w:r w:rsidRPr="00796157">
        <w:rPr>
          <w:szCs w:val="24"/>
        </w:rPr>
        <w:t xml:space="preserve">10KVA online UPS </w:t>
      </w:r>
    </w:p>
    <w:p w14:paraId="3247368F" w14:textId="77777777" w:rsidR="007C671F" w:rsidRPr="00796157" w:rsidRDefault="00016208">
      <w:pPr>
        <w:numPr>
          <w:ilvl w:val="0"/>
          <w:numId w:val="1"/>
        </w:numPr>
        <w:ind w:hanging="360"/>
        <w:rPr>
          <w:szCs w:val="24"/>
        </w:rPr>
      </w:pPr>
      <w:r w:rsidRPr="00796157">
        <w:rPr>
          <w:szCs w:val="24"/>
        </w:rPr>
        <w:t xml:space="preserve">Fume Extractor  </w:t>
      </w:r>
    </w:p>
    <w:p w14:paraId="7104D7C6" w14:textId="77777777" w:rsidR="007C671F" w:rsidRPr="00796157" w:rsidRDefault="00016208">
      <w:pPr>
        <w:spacing w:after="0" w:line="259" w:lineRule="auto"/>
        <w:ind w:left="0" w:firstLine="0"/>
        <w:rPr>
          <w:szCs w:val="24"/>
        </w:rPr>
      </w:pPr>
      <w:r w:rsidRPr="00796157">
        <w:rPr>
          <w:szCs w:val="24"/>
        </w:rPr>
        <w:t xml:space="preserve"> </w:t>
      </w:r>
    </w:p>
    <w:p w14:paraId="318A79B6" w14:textId="6EDE6BE3" w:rsidR="007C671F" w:rsidRPr="00796157" w:rsidRDefault="00016208">
      <w:pPr>
        <w:spacing w:after="28" w:line="250" w:lineRule="auto"/>
        <w:ind w:left="0" w:right="9047" w:firstLine="0"/>
        <w:rPr>
          <w:szCs w:val="24"/>
        </w:rPr>
      </w:pPr>
      <w:r w:rsidRPr="00796157">
        <w:rPr>
          <w:szCs w:val="24"/>
        </w:rPr>
        <w:t xml:space="preserve">  </w:t>
      </w:r>
    </w:p>
    <w:p w14:paraId="286C1376" w14:textId="7ECA3EBB" w:rsidR="007C671F" w:rsidRPr="00796157" w:rsidRDefault="00016208">
      <w:pPr>
        <w:ind w:left="355"/>
        <w:rPr>
          <w:szCs w:val="24"/>
        </w:rPr>
      </w:pPr>
      <w:r w:rsidRPr="00796157">
        <w:rPr>
          <w:szCs w:val="24"/>
        </w:rPr>
        <w:t>3.</w:t>
      </w:r>
      <w:r w:rsidRPr="00796157">
        <w:rPr>
          <w:rFonts w:eastAsia="Arial"/>
          <w:szCs w:val="24"/>
        </w:rPr>
        <w:t xml:space="preserve"> </w:t>
      </w:r>
      <w:r w:rsidRPr="00796157">
        <w:rPr>
          <w:szCs w:val="24"/>
        </w:rPr>
        <w:t xml:space="preserve">Please confirm which is applicable One year or </w:t>
      </w:r>
      <w:proofErr w:type="gramStart"/>
      <w:r w:rsidRPr="00796157">
        <w:rPr>
          <w:szCs w:val="24"/>
        </w:rPr>
        <w:t>two</w:t>
      </w:r>
      <w:r w:rsidR="00796157">
        <w:rPr>
          <w:szCs w:val="24"/>
        </w:rPr>
        <w:t xml:space="preserve"> </w:t>
      </w:r>
      <w:r w:rsidRPr="00796157">
        <w:rPr>
          <w:szCs w:val="24"/>
        </w:rPr>
        <w:t>year</w:t>
      </w:r>
      <w:proofErr w:type="gramEnd"/>
      <w:r w:rsidRPr="00796157">
        <w:rPr>
          <w:szCs w:val="24"/>
        </w:rPr>
        <w:t xml:space="preserve"> warranty </w:t>
      </w:r>
    </w:p>
    <w:p w14:paraId="55336644" w14:textId="77777777" w:rsidR="007C671F" w:rsidRPr="00796157" w:rsidRDefault="00016208">
      <w:pPr>
        <w:spacing w:after="0" w:line="259" w:lineRule="auto"/>
        <w:ind w:left="0" w:firstLine="0"/>
        <w:rPr>
          <w:szCs w:val="24"/>
        </w:rPr>
      </w:pPr>
      <w:r w:rsidRPr="00796157">
        <w:rPr>
          <w:b/>
          <w:szCs w:val="24"/>
        </w:rPr>
        <w:t xml:space="preserve"> </w:t>
      </w:r>
    </w:p>
    <w:p w14:paraId="2FE714B9" w14:textId="77777777" w:rsidR="007C671F" w:rsidRPr="00796157" w:rsidRDefault="00016208">
      <w:pPr>
        <w:spacing w:after="0" w:line="259" w:lineRule="auto"/>
        <w:ind w:left="0" w:firstLine="0"/>
        <w:rPr>
          <w:szCs w:val="24"/>
        </w:rPr>
      </w:pPr>
      <w:r w:rsidRPr="00796157">
        <w:rPr>
          <w:b/>
          <w:szCs w:val="24"/>
        </w:rPr>
        <w:t xml:space="preserve"> </w:t>
      </w:r>
    </w:p>
    <w:p w14:paraId="4F12C4C3" w14:textId="6D9491D7" w:rsidR="007C671F" w:rsidRPr="00796157" w:rsidRDefault="00016208">
      <w:pPr>
        <w:spacing w:after="0" w:line="259" w:lineRule="auto"/>
        <w:ind w:left="0" w:firstLine="0"/>
        <w:rPr>
          <w:szCs w:val="24"/>
        </w:rPr>
      </w:pPr>
      <w:r w:rsidRPr="00796157">
        <w:rPr>
          <w:b/>
          <w:szCs w:val="24"/>
        </w:rPr>
        <w:t xml:space="preserve"> </w:t>
      </w:r>
      <w:r w:rsidR="00796157" w:rsidRPr="00796157">
        <w:rPr>
          <w:b/>
          <w:szCs w:val="24"/>
        </w:rPr>
        <w:t>Response by Procuring Entity</w:t>
      </w:r>
    </w:p>
    <w:p w14:paraId="1E135897" w14:textId="77777777" w:rsidR="007C671F" w:rsidRPr="00796157" w:rsidRDefault="00016208">
      <w:pPr>
        <w:spacing w:after="0" w:line="259" w:lineRule="auto"/>
        <w:ind w:left="0" w:firstLine="0"/>
        <w:rPr>
          <w:szCs w:val="24"/>
        </w:rPr>
      </w:pPr>
      <w:r w:rsidRPr="00796157">
        <w:rPr>
          <w:b/>
          <w:szCs w:val="24"/>
        </w:rPr>
        <w:t xml:space="preserve"> </w:t>
      </w:r>
    </w:p>
    <w:p w14:paraId="0FCC5FFA" w14:textId="77777777" w:rsidR="00796157" w:rsidRPr="00796157" w:rsidRDefault="00796157" w:rsidP="00796157">
      <w:pPr>
        <w:pStyle w:val="ListParagraph"/>
        <w:numPr>
          <w:ilvl w:val="0"/>
          <w:numId w:val="4"/>
        </w:numPr>
        <w:rPr>
          <w:rFonts w:ascii="Times New Roman" w:hAnsi="Times New Roman" w:cs="Times New Roman"/>
          <w:sz w:val="24"/>
          <w:szCs w:val="24"/>
        </w:rPr>
      </w:pPr>
      <w:r w:rsidRPr="00796157">
        <w:rPr>
          <w:rFonts w:ascii="Times New Roman" w:hAnsi="Times New Roman" w:cs="Times New Roman"/>
          <w:sz w:val="24"/>
          <w:szCs w:val="24"/>
        </w:rPr>
        <w:t>Accessories to Include/Not to Include</w:t>
      </w:r>
    </w:p>
    <w:tbl>
      <w:tblPr>
        <w:tblW w:w="102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5290"/>
      </w:tblGrid>
      <w:tr w:rsidR="00796157" w:rsidRPr="00796157" w14:paraId="7C8F08AB" w14:textId="77777777" w:rsidTr="00796157">
        <w:trPr>
          <w:trHeight w:val="304"/>
        </w:trPr>
        <w:tc>
          <w:tcPr>
            <w:tcW w:w="4919" w:type="dxa"/>
            <w:tcBorders>
              <w:top w:val="single" w:sz="4" w:space="0" w:color="auto"/>
              <w:left w:val="single" w:sz="4" w:space="0" w:color="auto"/>
              <w:bottom w:val="single" w:sz="4" w:space="0" w:color="auto"/>
              <w:right w:val="single" w:sz="4" w:space="0" w:color="auto"/>
            </w:tcBorders>
            <w:hideMark/>
          </w:tcPr>
          <w:p w14:paraId="2E8AADE6" w14:textId="77777777" w:rsidR="00796157" w:rsidRPr="00796157" w:rsidRDefault="00796157">
            <w:pPr>
              <w:pStyle w:val="ListParagraph"/>
              <w:rPr>
                <w:rFonts w:ascii="Times New Roman" w:hAnsi="Times New Roman" w:cs="Times New Roman"/>
                <w:b/>
                <w:sz w:val="20"/>
                <w:szCs w:val="20"/>
              </w:rPr>
            </w:pPr>
            <w:r w:rsidRPr="00796157">
              <w:rPr>
                <w:rFonts w:ascii="Times New Roman" w:hAnsi="Times New Roman" w:cs="Times New Roman"/>
                <w:b/>
                <w:sz w:val="20"/>
                <w:szCs w:val="20"/>
              </w:rPr>
              <w:t>Item</w:t>
            </w:r>
          </w:p>
        </w:tc>
        <w:tc>
          <w:tcPr>
            <w:tcW w:w="5290" w:type="dxa"/>
            <w:tcBorders>
              <w:top w:val="single" w:sz="4" w:space="0" w:color="auto"/>
              <w:left w:val="single" w:sz="4" w:space="0" w:color="auto"/>
              <w:bottom w:val="single" w:sz="4" w:space="0" w:color="auto"/>
              <w:right w:val="single" w:sz="4" w:space="0" w:color="auto"/>
            </w:tcBorders>
            <w:hideMark/>
          </w:tcPr>
          <w:p w14:paraId="193E0D40" w14:textId="77777777" w:rsidR="00796157" w:rsidRPr="00796157" w:rsidRDefault="00796157">
            <w:pPr>
              <w:pStyle w:val="ListParagraph"/>
              <w:rPr>
                <w:rFonts w:ascii="Times New Roman" w:hAnsi="Times New Roman" w:cs="Times New Roman"/>
                <w:b/>
                <w:sz w:val="20"/>
                <w:szCs w:val="20"/>
              </w:rPr>
            </w:pPr>
            <w:r w:rsidRPr="00796157">
              <w:rPr>
                <w:rFonts w:ascii="Times New Roman" w:hAnsi="Times New Roman" w:cs="Times New Roman"/>
                <w:b/>
                <w:sz w:val="20"/>
                <w:szCs w:val="20"/>
              </w:rPr>
              <w:t>Needed/Not needed</w:t>
            </w:r>
          </w:p>
        </w:tc>
      </w:tr>
      <w:tr w:rsidR="00796157" w:rsidRPr="00796157" w14:paraId="23DC4B9E" w14:textId="77777777" w:rsidTr="00796157">
        <w:trPr>
          <w:trHeight w:val="304"/>
        </w:trPr>
        <w:tc>
          <w:tcPr>
            <w:tcW w:w="4919" w:type="dxa"/>
            <w:tcBorders>
              <w:top w:val="single" w:sz="4" w:space="0" w:color="auto"/>
              <w:left w:val="single" w:sz="4" w:space="0" w:color="auto"/>
              <w:bottom w:val="single" w:sz="4" w:space="0" w:color="auto"/>
              <w:right w:val="single" w:sz="4" w:space="0" w:color="auto"/>
            </w:tcBorders>
            <w:hideMark/>
          </w:tcPr>
          <w:p w14:paraId="164C7FB6" w14:textId="77777777" w:rsidR="00796157" w:rsidRPr="00796157" w:rsidRDefault="00796157">
            <w:pPr>
              <w:pStyle w:val="ListParagraph"/>
              <w:rPr>
                <w:rFonts w:ascii="Times New Roman" w:hAnsi="Times New Roman" w:cs="Times New Roman"/>
                <w:sz w:val="20"/>
                <w:szCs w:val="20"/>
              </w:rPr>
            </w:pPr>
            <w:r w:rsidRPr="00796157">
              <w:rPr>
                <w:rFonts w:ascii="Times New Roman" w:hAnsi="Times New Roman" w:cs="Times New Roman"/>
                <w:sz w:val="20"/>
                <w:szCs w:val="20"/>
              </w:rPr>
              <w:t>Auto sampler</w:t>
            </w:r>
          </w:p>
        </w:tc>
        <w:tc>
          <w:tcPr>
            <w:tcW w:w="5290" w:type="dxa"/>
            <w:tcBorders>
              <w:top w:val="single" w:sz="4" w:space="0" w:color="auto"/>
              <w:left w:val="single" w:sz="4" w:space="0" w:color="auto"/>
              <w:bottom w:val="single" w:sz="4" w:space="0" w:color="auto"/>
              <w:right w:val="single" w:sz="4" w:space="0" w:color="auto"/>
            </w:tcBorders>
            <w:hideMark/>
          </w:tcPr>
          <w:p w14:paraId="0FCC18B3" w14:textId="77777777" w:rsidR="00796157" w:rsidRPr="005948FB" w:rsidRDefault="00796157">
            <w:pPr>
              <w:pStyle w:val="ListParagraph"/>
              <w:rPr>
                <w:rFonts w:ascii="Times New Roman" w:hAnsi="Times New Roman" w:cs="Times New Roman"/>
                <w:b/>
                <w:sz w:val="20"/>
                <w:szCs w:val="20"/>
              </w:rPr>
            </w:pPr>
            <w:r w:rsidRPr="005948FB">
              <w:rPr>
                <w:rFonts w:ascii="Times New Roman" w:hAnsi="Times New Roman" w:cs="Times New Roman"/>
                <w:b/>
                <w:sz w:val="20"/>
                <w:szCs w:val="20"/>
              </w:rPr>
              <w:t>Needed (60 x 15-mL and 8 x50-ml)</w:t>
            </w:r>
          </w:p>
        </w:tc>
      </w:tr>
      <w:tr w:rsidR="00796157" w:rsidRPr="00796157" w14:paraId="6BCD0F9A" w14:textId="77777777" w:rsidTr="00796157">
        <w:trPr>
          <w:trHeight w:val="429"/>
        </w:trPr>
        <w:tc>
          <w:tcPr>
            <w:tcW w:w="4919" w:type="dxa"/>
            <w:tcBorders>
              <w:top w:val="single" w:sz="4" w:space="0" w:color="auto"/>
              <w:left w:val="single" w:sz="4" w:space="0" w:color="auto"/>
              <w:bottom w:val="single" w:sz="4" w:space="0" w:color="auto"/>
              <w:right w:val="single" w:sz="4" w:space="0" w:color="auto"/>
            </w:tcBorders>
            <w:hideMark/>
          </w:tcPr>
          <w:p w14:paraId="554DB5E7" w14:textId="77777777" w:rsidR="00796157" w:rsidRPr="00796157" w:rsidRDefault="00796157">
            <w:pPr>
              <w:pStyle w:val="ListParagraph"/>
              <w:rPr>
                <w:rFonts w:ascii="Times New Roman" w:hAnsi="Times New Roman" w:cs="Times New Roman"/>
                <w:sz w:val="20"/>
                <w:szCs w:val="20"/>
              </w:rPr>
            </w:pPr>
            <w:r w:rsidRPr="00796157">
              <w:rPr>
                <w:rFonts w:ascii="Times New Roman" w:hAnsi="Times New Roman" w:cs="Times New Roman"/>
                <w:sz w:val="20"/>
                <w:szCs w:val="20"/>
              </w:rPr>
              <w:t>System 3 PFA Inert Sample</w:t>
            </w:r>
          </w:p>
        </w:tc>
        <w:tc>
          <w:tcPr>
            <w:tcW w:w="5290" w:type="dxa"/>
            <w:tcBorders>
              <w:top w:val="single" w:sz="4" w:space="0" w:color="auto"/>
              <w:left w:val="single" w:sz="4" w:space="0" w:color="auto"/>
              <w:bottom w:val="single" w:sz="4" w:space="0" w:color="auto"/>
              <w:right w:val="single" w:sz="4" w:space="0" w:color="auto"/>
            </w:tcBorders>
            <w:hideMark/>
          </w:tcPr>
          <w:p w14:paraId="21484007" w14:textId="77777777" w:rsidR="00796157" w:rsidRPr="005948FB" w:rsidRDefault="00796157">
            <w:pPr>
              <w:pStyle w:val="ListParagraph"/>
              <w:rPr>
                <w:rFonts w:ascii="Times New Roman" w:hAnsi="Times New Roman" w:cs="Times New Roman"/>
                <w:b/>
                <w:sz w:val="20"/>
                <w:szCs w:val="20"/>
              </w:rPr>
            </w:pPr>
            <w:r w:rsidRPr="005948FB">
              <w:rPr>
                <w:rFonts w:ascii="Times New Roman" w:hAnsi="Times New Roman" w:cs="Times New Roman"/>
                <w:b/>
                <w:sz w:val="20"/>
                <w:szCs w:val="20"/>
              </w:rPr>
              <w:t>Not needed (remove)</w:t>
            </w:r>
          </w:p>
        </w:tc>
      </w:tr>
      <w:tr w:rsidR="00796157" w:rsidRPr="00796157" w14:paraId="07580D9E" w14:textId="77777777" w:rsidTr="00796157">
        <w:trPr>
          <w:trHeight w:val="429"/>
        </w:trPr>
        <w:tc>
          <w:tcPr>
            <w:tcW w:w="4919" w:type="dxa"/>
            <w:tcBorders>
              <w:top w:val="single" w:sz="4" w:space="0" w:color="auto"/>
              <w:left w:val="single" w:sz="4" w:space="0" w:color="auto"/>
              <w:bottom w:val="single" w:sz="4" w:space="0" w:color="auto"/>
              <w:right w:val="single" w:sz="4" w:space="0" w:color="auto"/>
            </w:tcBorders>
            <w:hideMark/>
          </w:tcPr>
          <w:p w14:paraId="34DC7697" w14:textId="77777777" w:rsidR="00796157" w:rsidRPr="00796157" w:rsidRDefault="00796157">
            <w:pPr>
              <w:pStyle w:val="ListParagraph"/>
              <w:rPr>
                <w:rFonts w:ascii="Times New Roman" w:hAnsi="Times New Roman" w:cs="Times New Roman"/>
                <w:sz w:val="20"/>
                <w:szCs w:val="20"/>
              </w:rPr>
            </w:pPr>
            <w:r w:rsidRPr="00796157">
              <w:rPr>
                <w:rFonts w:ascii="Times New Roman" w:hAnsi="Times New Roman" w:cs="Times New Roman"/>
                <w:sz w:val="20"/>
                <w:szCs w:val="20"/>
              </w:rPr>
              <w:t>Introduction Kit Organic Solvent</w:t>
            </w:r>
          </w:p>
        </w:tc>
        <w:tc>
          <w:tcPr>
            <w:tcW w:w="5290" w:type="dxa"/>
            <w:tcBorders>
              <w:top w:val="single" w:sz="4" w:space="0" w:color="auto"/>
              <w:left w:val="single" w:sz="4" w:space="0" w:color="auto"/>
              <w:bottom w:val="single" w:sz="4" w:space="0" w:color="auto"/>
              <w:right w:val="single" w:sz="4" w:space="0" w:color="auto"/>
            </w:tcBorders>
            <w:hideMark/>
          </w:tcPr>
          <w:p w14:paraId="08BE4B36" w14:textId="77777777" w:rsidR="00796157" w:rsidRPr="005948FB" w:rsidRDefault="00796157">
            <w:pPr>
              <w:pStyle w:val="ListParagraph"/>
              <w:rPr>
                <w:rFonts w:ascii="Times New Roman" w:hAnsi="Times New Roman" w:cs="Times New Roman"/>
                <w:b/>
                <w:sz w:val="20"/>
                <w:szCs w:val="20"/>
              </w:rPr>
            </w:pPr>
            <w:r w:rsidRPr="005948FB">
              <w:rPr>
                <w:rFonts w:ascii="Times New Roman" w:hAnsi="Times New Roman" w:cs="Times New Roman"/>
                <w:b/>
                <w:sz w:val="20"/>
                <w:szCs w:val="20"/>
              </w:rPr>
              <w:t>Not needed (remove)</w:t>
            </w:r>
          </w:p>
        </w:tc>
      </w:tr>
      <w:tr w:rsidR="00796157" w:rsidRPr="00796157" w14:paraId="4F92E799" w14:textId="77777777" w:rsidTr="00796157">
        <w:trPr>
          <w:trHeight w:val="398"/>
        </w:trPr>
        <w:tc>
          <w:tcPr>
            <w:tcW w:w="4919" w:type="dxa"/>
            <w:tcBorders>
              <w:top w:val="single" w:sz="4" w:space="0" w:color="auto"/>
              <w:left w:val="single" w:sz="4" w:space="0" w:color="auto"/>
              <w:bottom w:val="single" w:sz="4" w:space="0" w:color="auto"/>
              <w:right w:val="single" w:sz="4" w:space="0" w:color="auto"/>
            </w:tcBorders>
            <w:hideMark/>
          </w:tcPr>
          <w:p w14:paraId="580F2650" w14:textId="77777777" w:rsidR="00796157" w:rsidRPr="00796157" w:rsidRDefault="00796157">
            <w:pPr>
              <w:pStyle w:val="ListParagraph"/>
              <w:rPr>
                <w:rFonts w:ascii="Times New Roman" w:hAnsi="Times New Roman" w:cs="Times New Roman"/>
                <w:sz w:val="20"/>
                <w:szCs w:val="20"/>
              </w:rPr>
            </w:pPr>
            <w:r w:rsidRPr="00796157">
              <w:rPr>
                <w:rFonts w:ascii="Times New Roman" w:hAnsi="Times New Roman" w:cs="Times New Roman"/>
                <w:sz w:val="20"/>
                <w:szCs w:val="20"/>
              </w:rPr>
              <w:t>Introduction Kit Humidifier</w:t>
            </w:r>
          </w:p>
        </w:tc>
        <w:tc>
          <w:tcPr>
            <w:tcW w:w="5290" w:type="dxa"/>
            <w:tcBorders>
              <w:top w:val="single" w:sz="4" w:space="0" w:color="auto"/>
              <w:left w:val="single" w:sz="4" w:space="0" w:color="auto"/>
              <w:bottom w:val="single" w:sz="4" w:space="0" w:color="auto"/>
              <w:right w:val="single" w:sz="4" w:space="0" w:color="auto"/>
            </w:tcBorders>
            <w:hideMark/>
          </w:tcPr>
          <w:p w14:paraId="583DA294" w14:textId="77777777" w:rsidR="00796157" w:rsidRPr="005948FB" w:rsidRDefault="00796157">
            <w:pPr>
              <w:pStyle w:val="ListParagraph"/>
              <w:rPr>
                <w:rFonts w:ascii="Times New Roman" w:hAnsi="Times New Roman" w:cs="Times New Roman"/>
                <w:b/>
                <w:sz w:val="20"/>
                <w:szCs w:val="20"/>
              </w:rPr>
            </w:pPr>
            <w:r w:rsidRPr="005948FB">
              <w:rPr>
                <w:rFonts w:ascii="Times New Roman" w:hAnsi="Times New Roman" w:cs="Times New Roman"/>
                <w:b/>
                <w:sz w:val="20"/>
                <w:szCs w:val="20"/>
              </w:rPr>
              <w:t>Include (remove)</w:t>
            </w:r>
          </w:p>
        </w:tc>
      </w:tr>
      <w:tr w:rsidR="00796157" w:rsidRPr="00796157" w14:paraId="62E6CBD9" w14:textId="77777777" w:rsidTr="00796157">
        <w:trPr>
          <w:trHeight w:val="461"/>
        </w:trPr>
        <w:tc>
          <w:tcPr>
            <w:tcW w:w="4919" w:type="dxa"/>
            <w:tcBorders>
              <w:top w:val="single" w:sz="4" w:space="0" w:color="auto"/>
              <w:left w:val="single" w:sz="4" w:space="0" w:color="auto"/>
              <w:bottom w:val="single" w:sz="4" w:space="0" w:color="auto"/>
              <w:right w:val="single" w:sz="4" w:space="0" w:color="auto"/>
            </w:tcBorders>
            <w:hideMark/>
          </w:tcPr>
          <w:p w14:paraId="51CBBEA2" w14:textId="77777777" w:rsidR="00796157" w:rsidRPr="00796157" w:rsidRDefault="00796157">
            <w:pPr>
              <w:pStyle w:val="ListParagraph"/>
              <w:rPr>
                <w:rFonts w:ascii="Times New Roman" w:hAnsi="Times New Roman" w:cs="Times New Roman"/>
                <w:sz w:val="20"/>
                <w:szCs w:val="20"/>
              </w:rPr>
            </w:pPr>
            <w:r w:rsidRPr="00796157">
              <w:rPr>
                <w:rFonts w:ascii="Times New Roman" w:hAnsi="Times New Roman" w:cs="Times New Roman"/>
                <w:sz w:val="20"/>
                <w:szCs w:val="20"/>
              </w:rPr>
              <w:t xml:space="preserve">LC-ICP-MS Speciation </w:t>
            </w:r>
            <w:proofErr w:type="gramStart"/>
            <w:r w:rsidRPr="00796157">
              <w:rPr>
                <w:rFonts w:ascii="Times New Roman" w:hAnsi="Times New Roman" w:cs="Times New Roman"/>
                <w:sz w:val="20"/>
                <w:szCs w:val="20"/>
              </w:rPr>
              <w:t>Kits  Capillary</w:t>
            </w:r>
            <w:proofErr w:type="gramEnd"/>
            <w:r w:rsidRPr="00796157">
              <w:rPr>
                <w:rFonts w:ascii="Times New Roman" w:hAnsi="Times New Roman" w:cs="Times New Roman"/>
                <w:sz w:val="20"/>
                <w:szCs w:val="20"/>
              </w:rPr>
              <w:t xml:space="preserve"> LC Interface Kit</w:t>
            </w:r>
          </w:p>
        </w:tc>
        <w:tc>
          <w:tcPr>
            <w:tcW w:w="5290" w:type="dxa"/>
            <w:tcBorders>
              <w:top w:val="single" w:sz="4" w:space="0" w:color="auto"/>
              <w:left w:val="single" w:sz="4" w:space="0" w:color="auto"/>
              <w:bottom w:val="single" w:sz="4" w:space="0" w:color="auto"/>
              <w:right w:val="single" w:sz="4" w:space="0" w:color="auto"/>
            </w:tcBorders>
            <w:hideMark/>
          </w:tcPr>
          <w:p w14:paraId="105D35D4" w14:textId="77777777" w:rsidR="00796157" w:rsidRPr="005948FB" w:rsidRDefault="00796157">
            <w:pPr>
              <w:pStyle w:val="ListParagraph"/>
              <w:rPr>
                <w:rFonts w:ascii="Times New Roman" w:hAnsi="Times New Roman" w:cs="Times New Roman"/>
                <w:b/>
                <w:sz w:val="20"/>
                <w:szCs w:val="20"/>
              </w:rPr>
            </w:pPr>
            <w:r w:rsidRPr="005948FB">
              <w:rPr>
                <w:rFonts w:ascii="Times New Roman" w:hAnsi="Times New Roman" w:cs="Times New Roman"/>
                <w:b/>
                <w:sz w:val="20"/>
                <w:szCs w:val="20"/>
              </w:rPr>
              <w:t>Not needed (remove)</w:t>
            </w:r>
          </w:p>
        </w:tc>
      </w:tr>
      <w:tr w:rsidR="00796157" w:rsidRPr="00796157" w14:paraId="787C0CBC" w14:textId="77777777" w:rsidTr="00796157">
        <w:trPr>
          <w:trHeight w:val="225"/>
        </w:trPr>
        <w:tc>
          <w:tcPr>
            <w:tcW w:w="4919" w:type="dxa"/>
            <w:tcBorders>
              <w:top w:val="single" w:sz="4" w:space="0" w:color="auto"/>
              <w:left w:val="single" w:sz="4" w:space="0" w:color="auto"/>
              <w:bottom w:val="single" w:sz="4" w:space="0" w:color="auto"/>
              <w:right w:val="single" w:sz="4" w:space="0" w:color="auto"/>
            </w:tcBorders>
            <w:hideMark/>
          </w:tcPr>
          <w:p w14:paraId="4B2728C3" w14:textId="77777777" w:rsidR="00796157" w:rsidRPr="00796157" w:rsidRDefault="00796157">
            <w:pPr>
              <w:pStyle w:val="ListParagraph"/>
              <w:rPr>
                <w:rFonts w:ascii="Times New Roman" w:hAnsi="Times New Roman" w:cs="Times New Roman"/>
                <w:sz w:val="20"/>
                <w:szCs w:val="20"/>
              </w:rPr>
            </w:pPr>
            <w:r w:rsidRPr="00796157">
              <w:rPr>
                <w:rFonts w:ascii="Times New Roman" w:hAnsi="Times New Roman" w:cs="Times New Roman"/>
                <w:sz w:val="20"/>
                <w:szCs w:val="20"/>
              </w:rPr>
              <w:t>Capillary LC Interface Kit</w:t>
            </w:r>
          </w:p>
        </w:tc>
        <w:tc>
          <w:tcPr>
            <w:tcW w:w="5290" w:type="dxa"/>
            <w:tcBorders>
              <w:top w:val="single" w:sz="4" w:space="0" w:color="auto"/>
              <w:left w:val="single" w:sz="4" w:space="0" w:color="auto"/>
              <w:bottom w:val="single" w:sz="4" w:space="0" w:color="auto"/>
              <w:right w:val="single" w:sz="4" w:space="0" w:color="auto"/>
            </w:tcBorders>
            <w:hideMark/>
          </w:tcPr>
          <w:p w14:paraId="38538E04" w14:textId="77777777" w:rsidR="00796157" w:rsidRPr="005948FB" w:rsidRDefault="00796157">
            <w:pPr>
              <w:pStyle w:val="ListParagraph"/>
              <w:rPr>
                <w:rFonts w:ascii="Times New Roman" w:hAnsi="Times New Roman" w:cs="Times New Roman"/>
                <w:b/>
                <w:sz w:val="20"/>
                <w:szCs w:val="20"/>
              </w:rPr>
            </w:pPr>
            <w:r w:rsidRPr="005948FB">
              <w:rPr>
                <w:rFonts w:ascii="Times New Roman" w:hAnsi="Times New Roman" w:cs="Times New Roman"/>
                <w:b/>
                <w:sz w:val="20"/>
                <w:szCs w:val="20"/>
              </w:rPr>
              <w:t>Not needed (remove)</w:t>
            </w:r>
          </w:p>
        </w:tc>
      </w:tr>
      <w:tr w:rsidR="00796157" w:rsidRPr="00796157" w14:paraId="5C636B64" w14:textId="77777777" w:rsidTr="00796157">
        <w:trPr>
          <w:trHeight w:val="276"/>
        </w:trPr>
        <w:tc>
          <w:tcPr>
            <w:tcW w:w="4919" w:type="dxa"/>
            <w:tcBorders>
              <w:top w:val="single" w:sz="4" w:space="0" w:color="auto"/>
              <w:left w:val="single" w:sz="4" w:space="0" w:color="auto"/>
              <w:bottom w:val="single" w:sz="4" w:space="0" w:color="auto"/>
              <w:right w:val="single" w:sz="4" w:space="0" w:color="auto"/>
            </w:tcBorders>
            <w:hideMark/>
          </w:tcPr>
          <w:p w14:paraId="4A018DF8" w14:textId="77777777" w:rsidR="00796157" w:rsidRPr="00796157" w:rsidRDefault="00796157">
            <w:pPr>
              <w:pStyle w:val="ListParagraph"/>
              <w:rPr>
                <w:rFonts w:ascii="Times New Roman" w:hAnsi="Times New Roman" w:cs="Times New Roman"/>
                <w:sz w:val="20"/>
                <w:szCs w:val="20"/>
              </w:rPr>
            </w:pPr>
            <w:r w:rsidRPr="00796157">
              <w:rPr>
                <w:rFonts w:ascii="Times New Roman" w:hAnsi="Times New Roman" w:cs="Times New Roman"/>
                <w:sz w:val="20"/>
                <w:szCs w:val="20"/>
              </w:rPr>
              <w:t>Arsenic Speciation Kit</w:t>
            </w:r>
          </w:p>
        </w:tc>
        <w:tc>
          <w:tcPr>
            <w:tcW w:w="5290" w:type="dxa"/>
            <w:tcBorders>
              <w:top w:val="single" w:sz="4" w:space="0" w:color="auto"/>
              <w:left w:val="single" w:sz="4" w:space="0" w:color="auto"/>
              <w:bottom w:val="single" w:sz="4" w:space="0" w:color="auto"/>
              <w:right w:val="single" w:sz="4" w:space="0" w:color="auto"/>
            </w:tcBorders>
            <w:hideMark/>
          </w:tcPr>
          <w:p w14:paraId="38B03EBB" w14:textId="77777777" w:rsidR="00796157" w:rsidRPr="005948FB" w:rsidRDefault="00796157">
            <w:pPr>
              <w:pStyle w:val="ListParagraph"/>
              <w:rPr>
                <w:rFonts w:ascii="Times New Roman" w:hAnsi="Times New Roman" w:cs="Times New Roman"/>
                <w:b/>
                <w:sz w:val="20"/>
                <w:szCs w:val="20"/>
              </w:rPr>
            </w:pPr>
            <w:r w:rsidRPr="005948FB">
              <w:rPr>
                <w:rFonts w:ascii="Times New Roman" w:hAnsi="Times New Roman" w:cs="Times New Roman"/>
                <w:b/>
                <w:sz w:val="20"/>
                <w:szCs w:val="20"/>
              </w:rPr>
              <w:t>Not needed (remove)</w:t>
            </w:r>
          </w:p>
        </w:tc>
      </w:tr>
    </w:tbl>
    <w:p w14:paraId="6D1BC4E6" w14:textId="77777777" w:rsidR="00796157" w:rsidRPr="00796157" w:rsidRDefault="00796157" w:rsidP="00796157">
      <w:pPr>
        <w:pStyle w:val="ListParagraph"/>
        <w:rPr>
          <w:rFonts w:ascii="Times New Roman" w:hAnsi="Times New Roman" w:cs="Times New Roman"/>
          <w:sz w:val="24"/>
          <w:szCs w:val="24"/>
        </w:rPr>
      </w:pPr>
    </w:p>
    <w:p w14:paraId="6D2E67AC" w14:textId="77777777" w:rsidR="00796157" w:rsidRPr="00796157" w:rsidRDefault="00796157" w:rsidP="00796157">
      <w:pPr>
        <w:rPr>
          <w:szCs w:val="24"/>
        </w:rPr>
      </w:pPr>
    </w:p>
    <w:p w14:paraId="284C2806" w14:textId="77777777" w:rsidR="00796157" w:rsidRPr="00796157" w:rsidRDefault="00796157" w:rsidP="00796157">
      <w:pPr>
        <w:rPr>
          <w:szCs w:val="24"/>
        </w:rPr>
      </w:pPr>
      <w:r w:rsidRPr="00796157">
        <w:rPr>
          <w:szCs w:val="24"/>
        </w:rPr>
        <w:t>2.</w:t>
      </w:r>
      <w:r w:rsidRPr="00796157">
        <w:rPr>
          <w:szCs w:val="24"/>
        </w:rPr>
        <w:tab/>
      </w:r>
      <w:r w:rsidRPr="00796157">
        <w:rPr>
          <w:b/>
          <w:szCs w:val="24"/>
        </w:rPr>
        <w:t>Additional items to include:</w:t>
      </w:r>
    </w:p>
    <w:p w14:paraId="0CA82F72" w14:textId="77777777" w:rsidR="00796157" w:rsidRPr="00796157" w:rsidRDefault="00796157" w:rsidP="00796157">
      <w:pPr>
        <w:pStyle w:val="ListParagraph"/>
        <w:numPr>
          <w:ilvl w:val="0"/>
          <w:numId w:val="5"/>
        </w:numPr>
        <w:rPr>
          <w:rFonts w:ascii="Times New Roman" w:hAnsi="Times New Roman" w:cs="Times New Roman"/>
          <w:sz w:val="24"/>
          <w:szCs w:val="24"/>
        </w:rPr>
      </w:pPr>
      <w:r w:rsidRPr="00796157">
        <w:rPr>
          <w:rFonts w:ascii="Times New Roman" w:hAnsi="Times New Roman" w:cs="Times New Roman"/>
          <w:sz w:val="24"/>
          <w:szCs w:val="24"/>
        </w:rPr>
        <w:t xml:space="preserve">Argon &amp; Helium gas with regulators </w:t>
      </w:r>
    </w:p>
    <w:p w14:paraId="2B30E3E9" w14:textId="77777777" w:rsidR="00796157" w:rsidRPr="00796157" w:rsidRDefault="00796157" w:rsidP="00796157">
      <w:pPr>
        <w:pStyle w:val="ListParagraph"/>
        <w:numPr>
          <w:ilvl w:val="0"/>
          <w:numId w:val="5"/>
        </w:numPr>
        <w:rPr>
          <w:rFonts w:ascii="Times New Roman" w:hAnsi="Times New Roman" w:cs="Times New Roman"/>
          <w:sz w:val="24"/>
          <w:szCs w:val="24"/>
        </w:rPr>
      </w:pPr>
      <w:r w:rsidRPr="00796157">
        <w:rPr>
          <w:rFonts w:ascii="Times New Roman" w:hAnsi="Times New Roman" w:cs="Times New Roman"/>
          <w:sz w:val="24"/>
          <w:szCs w:val="24"/>
        </w:rPr>
        <w:t>PC, Printer and UPS for PC</w:t>
      </w:r>
    </w:p>
    <w:p w14:paraId="0DA41DAA" w14:textId="77777777" w:rsidR="00796157" w:rsidRPr="00796157" w:rsidRDefault="00796157" w:rsidP="00796157">
      <w:pPr>
        <w:pStyle w:val="ListParagraph"/>
        <w:numPr>
          <w:ilvl w:val="0"/>
          <w:numId w:val="5"/>
        </w:numPr>
        <w:rPr>
          <w:rFonts w:ascii="Times New Roman" w:hAnsi="Times New Roman" w:cs="Times New Roman"/>
          <w:sz w:val="24"/>
          <w:szCs w:val="24"/>
        </w:rPr>
      </w:pPr>
      <w:r w:rsidRPr="00796157">
        <w:rPr>
          <w:rFonts w:ascii="Times New Roman" w:hAnsi="Times New Roman" w:cs="Times New Roman"/>
          <w:sz w:val="24"/>
          <w:szCs w:val="24"/>
        </w:rPr>
        <w:t>10KVA online UPS</w:t>
      </w:r>
    </w:p>
    <w:p w14:paraId="6C12C930" w14:textId="77777777" w:rsidR="00796157" w:rsidRPr="00796157" w:rsidRDefault="00796157" w:rsidP="00796157">
      <w:pPr>
        <w:pStyle w:val="ListParagraph"/>
        <w:numPr>
          <w:ilvl w:val="0"/>
          <w:numId w:val="5"/>
        </w:numPr>
        <w:rPr>
          <w:rFonts w:ascii="Times New Roman" w:hAnsi="Times New Roman" w:cs="Times New Roman"/>
          <w:sz w:val="24"/>
          <w:szCs w:val="24"/>
        </w:rPr>
      </w:pPr>
      <w:r w:rsidRPr="00796157">
        <w:rPr>
          <w:rFonts w:ascii="Times New Roman" w:hAnsi="Times New Roman" w:cs="Times New Roman"/>
          <w:sz w:val="24"/>
          <w:szCs w:val="24"/>
        </w:rPr>
        <w:t xml:space="preserve">Fume Extractor </w:t>
      </w:r>
    </w:p>
    <w:p w14:paraId="27BD2CC0" w14:textId="77777777" w:rsidR="00796157" w:rsidRPr="00796157" w:rsidRDefault="00796157" w:rsidP="00796157">
      <w:pPr>
        <w:rPr>
          <w:szCs w:val="24"/>
        </w:rPr>
      </w:pPr>
    </w:p>
    <w:p w14:paraId="1F6A9466" w14:textId="77777777" w:rsidR="00796157" w:rsidRPr="00796157" w:rsidRDefault="00796157" w:rsidP="00796157">
      <w:pPr>
        <w:rPr>
          <w:szCs w:val="24"/>
        </w:rPr>
      </w:pPr>
      <w:r w:rsidRPr="00796157">
        <w:rPr>
          <w:szCs w:val="24"/>
        </w:rPr>
        <w:t>3.</w:t>
      </w:r>
      <w:r w:rsidRPr="00796157">
        <w:rPr>
          <w:szCs w:val="24"/>
        </w:rPr>
        <w:tab/>
      </w:r>
      <w:proofErr w:type="gramStart"/>
      <w:r w:rsidRPr="00796157">
        <w:rPr>
          <w:szCs w:val="24"/>
        </w:rPr>
        <w:t>One year</w:t>
      </w:r>
      <w:proofErr w:type="gramEnd"/>
      <w:r w:rsidRPr="00796157">
        <w:rPr>
          <w:szCs w:val="24"/>
        </w:rPr>
        <w:t xml:space="preserve"> warranty</w:t>
      </w:r>
    </w:p>
    <w:p w14:paraId="56CBCDF1" w14:textId="77777777" w:rsidR="00796157" w:rsidRPr="00796157" w:rsidRDefault="00796157" w:rsidP="00796157">
      <w:pPr>
        <w:rPr>
          <w:szCs w:val="24"/>
        </w:rPr>
      </w:pPr>
    </w:p>
    <w:p w14:paraId="63A87BED" w14:textId="77777777" w:rsidR="00796157" w:rsidRPr="00796157" w:rsidRDefault="00796157" w:rsidP="00796157">
      <w:pPr>
        <w:rPr>
          <w:szCs w:val="24"/>
        </w:rPr>
      </w:pPr>
    </w:p>
    <w:p w14:paraId="51A72A15" w14:textId="77777777" w:rsidR="00796157" w:rsidRPr="00796157" w:rsidRDefault="00796157" w:rsidP="00796157">
      <w:pPr>
        <w:rPr>
          <w:szCs w:val="24"/>
        </w:rPr>
      </w:pPr>
    </w:p>
    <w:p w14:paraId="2851B12D" w14:textId="1388525E" w:rsidR="00796157" w:rsidRPr="00796157" w:rsidRDefault="00796157" w:rsidP="00796157">
      <w:pPr>
        <w:rPr>
          <w:b/>
          <w:szCs w:val="24"/>
        </w:rPr>
      </w:pPr>
      <w:r w:rsidRPr="00796157">
        <w:rPr>
          <w:b/>
          <w:szCs w:val="24"/>
        </w:rPr>
        <w:t>HEAD, SUPPLY CHAIN MANAGEMENT SERVICES</w:t>
      </w:r>
    </w:p>
    <w:p w14:paraId="6FCCA4C8" w14:textId="6AECE1F2" w:rsidR="00796157" w:rsidRPr="00796157" w:rsidRDefault="00796157" w:rsidP="00796157">
      <w:pPr>
        <w:rPr>
          <w:b/>
          <w:szCs w:val="24"/>
        </w:rPr>
      </w:pPr>
      <w:r w:rsidRPr="00796157">
        <w:rPr>
          <w:b/>
          <w:szCs w:val="24"/>
        </w:rPr>
        <w:t>FOR: PRINCIPAL SECRETARY</w:t>
      </w:r>
    </w:p>
    <w:p w14:paraId="673A53F9" w14:textId="44202538" w:rsidR="007C671F" w:rsidRDefault="00796157" w:rsidP="00796157">
      <w:r w:rsidRPr="00796157">
        <w:rPr>
          <w:b/>
          <w:szCs w:val="24"/>
        </w:rPr>
        <w:t>STATE DEPARTMENT FOR M</w:t>
      </w:r>
      <w:r>
        <w:rPr>
          <w:b/>
        </w:rPr>
        <w:t>INING</w:t>
      </w:r>
    </w:p>
    <w:sectPr w:rsidR="007C671F">
      <w:pgSz w:w="11906" w:h="16838"/>
      <w:pgMar w:top="283" w:right="1523" w:bottom="1856"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3E51"/>
    <w:multiLevelType w:val="hybridMultilevel"/>
    <w:tmpl w:val="AF82AF42"/>
    <w:lvl w:ilvl="0" w:tplc="06E00A3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E468A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7ECE9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DCDD5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181F6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982CD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4A1C3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36FBC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08438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3F1D1A"/>
    <w:multiLevelType w:val="hybridMultilevel"/>
    <w:tmpl w:val="A9747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07105"/>
    <w:multiLevelType w:val="hybridMultilevel"/>
    <w:tmpl w:val="23CC9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495FDA"/>
    <w:multiLevelType w:val="hybridMultilevel"/>
    <w:tmpl w:val="CEFC24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AC61B1"/>
    <w:multiLevelType w:val="hybridMultilevel"/>
    <w:tmpl w:val="3D401788"/>
    <w:lvl w:ilvl="0" w:tplc="02F615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26B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0AE5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E0E8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634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327D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02F6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962D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FC05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1F"/>
    <w:rsid w:val="00016208"/>
    <w:rsid w:val="0031010F"/>
    <w:rsid w:val="00405624"/>
    <w:rsid w:val="0041136F"/>
    <w:rsid w:val="005732AB"/>
    <w:rsid w:val="005948FB"/>
    <w:rsid w:val="005A5729"/>
    <w:rsid w:val="00626E3A"/>
    <w:rsid w:val="00796157"/>
    <w:rsid w:val="00797D1C"/>
    <w:rsid w:val="007C671F"/>
    <w:rsid w:val="007F0895"/>
    <w:rsid w:val="00CB1510"/>
    <w:rsid w:val="00EF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D76D"/>
  <w15:docId w15:val="{BA30297B-2EE5-48AA-9025-7612714E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
      </w:numPr>
      <w:spacing w:after="10" w:line="249"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16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08"/>
    <w:rPr>
      <w:rFonts w:ascii="Segoe UI" w:eastAsia="Times New Roman" w:hAnsi="Segoe UI" w:cs="Segoe UI"/>
      <w:color w:val="000000"/>
      <w:sz w:val="18"/>
      <w:szCs w:val="18"/>
    </w:rPr>
  </w:style>
  <w:style w:type="table" w:styleId="TableGrid0">
    <w:name w:val="Table Grid"/>
    <w:basedOn w:val="TableNormal"/>
    <w:uiPriority w:val="39"/>
    <w:rsid w:val="00310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157"/>
    <w:pPr>
      <w:spacing w:after="160" w:line="256" w:lineRule="auto"/>
      <w:ind w:left="720" w:firstLine="0"/>
      <w:contextualSpacing/>
    </w:pPr>
    <w:rPr>
      <w:rFonts w:asciiTheme="minorHAnsi" w:eastAsiaTheme="minorHAnsi" w:hAnsiTheme="minorHAnsi" w:cstheme="minorBid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082">
      <w:bodyDiv w:val="1"/>
      <w:marLeft w:val="0"/>
      <w:marRight w:val="0"/>
      <w:marTop w:val="0"/>
      <w:marBottom w:val="0"/>
      <w:divBdr>
        <w:top w:val="none" w:sz="0" w:space="0" w:color="auto"/>
        <w:left w:val="none" w:sz="0" w:space="0" w:color="auto"/>
        <w:bottom w:val="none" w:sz="0" w:space="0" w:color="auto"/>
        <w:right w:val="none" w:sz="0" w:space="0" w:color="auto"/>
      </w:divBdr>
    </w:div>
    <w:div w:id="914627208">
      <w:bodyDiv w:val="1"/>
      <w:marLeft w:val="0"/>
      <w:marRight w:val="0"/>
      <w:marTop w:val="0"/>
      <w:marBottom w:val="0"/>
      <w:divBdr>
        <w:top w:val="none" w:sz="0" w:space="0" w:color="auto"/>
        <w:left w:val="none" w:sz="0" w:space="0" w:color="auto"/>
        <w:bottom w:val="none" w:sz="0" w:space="0" w:color="auto"/>
        <w:right w:val="none" w:sz="0" w:space="0" w:color="auto"/>
      </w:divBdr>
    </w:div>
    <w:div w:id="150801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11th December, 2009</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December, 2009</dc:title>
  <dc:subject/>
  <dc:creator>Estec-Server</dc:creator>
  <cp:keywords/>
  <cp:lastModifiedBy>USER</cp:lastModifiedBy>
  <cp:revision>16</cp:revision>
  <dcterms:created xsi:type="dcterms:W3CDTF">2023-09-04T08:54:00Z</dcterms:created>
  <dcterms:modified xsi:type="dcterms:W3CDTF">2023-09-04T10:08:00Z</dcterms:modified>
</cp:coreProperties>
</file>